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E57C2E">
      <w:pPr>
        <w:jc w:val="center"/>
        <w:rPr>
          <w:b/>
          <w:caps/>
        </w:rPr>
      </w:pPr>
      <w:r>
        <w:rPr>
          <w:b/>
          <w:caps/>
        </w:rPr>
        <w:t>Uchwała Nr XLVI/360/2022</w:t>
      </w:r>
      <w:r>
        <w:rPr>
          <w:b/>
          <w:caps/>
        </w:rPr>
        <w:br/>
        <w:t>Rady Miejskiej w Kcyni</w:t>
      </w:r>
    </w:p>
    <w:p w:rsidR="00A77B3E" w:rsidRDefault="00E57C2E">
      <w:pPr>
        <w:spacing w:before="280" w:after="280"/>
        <w:jc w:val="center"/>
        <w:rPr>
          <w:b/>
          <w:caps/>
        </w:rPr>
      </w:pPr>
      <w:r>
        <w:t>z dnia 26 maja 2022 r.</w:t>
      </w:r>
    </w:p>
    <w:p w:rsidR="00A77B3E" w:rsidRDefault="00E57C2E">
      <w:pPr>
        <w:keepNext/>
        <w:spacing w:after="480"/>
        <w:jc w:val="center"/>
      </w:pPr>
      <w:r>
        <w:rPr>
          <w:b/>
        </w:rPr>
        <w:t>w sprawie wyrażenia zgody na zawarcie porozumienia międzygminnego dotyczącego przekazania miastu Bydgoszcz zadania własnego gminy Kcynia z zakresu utrzymania czystości i porządku w gminie, polegającego na zagospodarowaniu bioodpadów.</w:t>
      </w:r>
    </w:p>
    <w:p w:rsidR="00A77B3E" w:rsidRDefault="00E57C2E">
      <w:pPr>
        <w:keepLines/>
        <w:spacing w:before="120" w:after="120"/>
        <w:ind w:firstLine="227"/>
      </w:pPr>
      <w:r>
        <w:tab/>
        <w:t>Na podstawie art. 18 ust. 2 pkt 12 i art. 74 ust. 1 w związku z art. 7 ust. 1 pkt 3 ustawy z dnia 8 marca 1990 r. o samorządzie gminnym (Dz. U. z 2022 r. poz. 559), oraz art. 3 ust. 2 pkt 6b ustawy z dnia 13 września 1996 r. o utrzymaniu czystości i porządku  w gminach (Dz. U. z 2021 r. poz. 888 ze zm.),</w:t>
      </w:r>
    </w:p>
    <w:p w:rsidR="00A77B3E" w:rsidRDefault="00E57C2E">
      <w:pPr>
        <w:spacing w:before="120" w:after="120"/>
        <w:jc w:val="center"/>
        <w:rPr>
          <w:b/>
        </w:rPr>
      </w:pPr>
      <w:r>
        <w:rPr>
          <w:b/>
        </w:rPr>
        <w:t>uchwala się, co następuje:</w:t>
      </w:r>
    </w:p>
    <w:p w:rsidR="00A77B3E" w:rsidRDefault="00E57C2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Wyraża się zgodę na zawarcie porozumienia międzygminnego dotyczącego przekazania miastu Bydgoszcz zadania własnego gminy Kcynia z zakresu utrzymania czystości i porządku w gminie, polegającego na zagospodarowaniu bioodpadów stanowiących odpady komunalne.</w:t>
      </w:r>
    </w:p>
    <w:p w:rsidR="00A77B3E" w:rsidRDefault="00E57C2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Miasto Bydgoszcz zagospodaruje poprzez recycling oraz inne procesy odzysku bioodpady stanowiące odpady komunalne, których powstaniu nie udało się zapobiec na terenie gminy Kcynia, zgodnie z hierarchią sposobów postępowania z odpadami.</w:t>
      </w:r>
    </w:p>
    <w:p w:rsidR="00A77B3E" w:rsidRDefault="00E57C2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Gmina Kcynia będzie ponosiła koszty realizacji powierzonego zadania w wysokości wynikającej z iloczynu masy bioodpadów stanowiących odpady komunalne dostarczonych z obszaru gminy Kcynia i ceny za przetworzenie bioodpadów stanowiących odpady komunalne obowiązującej u podmiotu prowadzącego instalację przetwarzania bioodpadów.</w:t>
      </w:r>
    </w:p>
    <w:p w:rsidR="00A77B3E" w:rsidRDefault="00E57C2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Porozumienie wchodzi w życie z dniem 1 stycznia 2025 r.</w:t>
      </w:r>
    </w:p>
    <w:p w:rsidR="00A77B3E" w:rsidRDefault="00E57C2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Traci moc uchwała Nr XLV/347/2022 Rady Miejskiej w Kcyni z dnia 28 kwietnia 2022 r. w sprawie wyrażenia zgody na zawarcie porozumienia międzygminnego dotyczącego przekazania miastu Bydgoszcz zadania własnego gminy Kcynia z zakresu utrzymania czystości i porządku w gminie, polegającego na zagospodarowaniu bioodpadów.</w:t>
      </w:r>
    </w:p>
    <w:p w:rsidR="00A77B3E" w:rsidRDefault="00E57C2E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E57C2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8391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3916" w:rsidRDefault="0078391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3916" w:rsidRDefault="00E57C2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783916" w:rsidRDefault="00783916">
      <w:pPr>
        <w:rPr>
          <w:szCs w:val="20"/>
        </w:rPr>
      </w:pPr>
    </w:p>
    <w:p w:rsidR="00783916" w:rsidRDefault="00E57C2E">
      <w:pPr>
        <w:jc w:val="center"/>
        <w:rPr>
          <w:szCs w:val="20"/>
        </w:rPr>
      </w:pPr>
      <w:bookmarkStart w:id="0" w:name="_GoBack"/>
      <w:r>
        <w:rPr>
          <w:b/>
          <w:szCs w:val="20"/>
        </w:rPr>
        <w:t>Uzasadnienie</w:t>
      </w:r>
    </w:p>
    <w:p w:rsidR="00783916" w:rsidRDefault="00E57C2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szCs w:val="20"/>
        </w:rPr>
        <w:t>1.</w:t>
      </w:r>
      <w:r>
        <w:rPr>
          <w:b/>
          <w:color w:val="000000"/>
          <w:szCs w:val="20"/>
          <w:u w:color="000000"/>
        </w:rPr>
        <w:t>Przedmiot regulacji:</w:t>
      </w:r>
    </w:p>
    <w:p w:rsidR="00783916" w:rsidRDefault="00E57C2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Wyrażenie przez Radę Gminy Kcynia zgody na zawarcie porozumienia międzygminnego dotyczącego przekazania miastu Bydgoszcz zadania własnego gminy Kcynia z zakresu utrzymania czystości i porządku w gminie, polegającego na zagospodarowaniu bioodpadów stanowiących odpady komunalne.</w:t>
      </w:r>
    </w:p>
    <w:p w:rsidR="00783916" w:rsidRDefault="00E57C2E" w:rsidP="00E57C2E">
      <w:pPr>
        <w:spacing w:before="120" w:after="120"/>
        <w:ind w:right="-28" w:firstLine="142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2</w:t>
      </w:r>
      <w:r>
        <w:rPr>
          <w:color w:val="000000"/>
          <w:szCs w:val="20"/>
          <w:u w:color="000000"/>
        </w:rPr>
        <w:t xml:space="preserve">. </w:t>
      </w:r>
      <w:r>
        <w:rPr>
          <w:b/>
          <w:color w:val="000000"/>
          <w:szCs w:val="20"/>
          <w:u w:color="000000"/>
        </w:rPr>
        <w:t>Omówienie podstawy prawnej:</w:t>
      </w:r>
    </w:p>
    <w:p w:rsidR="00783916" w:rsidRDefault="00E57C2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 podstawie art. 18 ust. 2 pkt 12 ustawy z dnia 8 marca 1990 r. o samorządzie gminnym (Dz. U. z 2022 r. poz. 559), do wyłącznej właściwości rady gminy należy podejmowanie uchwał w sprawie współdziałania z innymi gminami. Zgodnie z art. 74 ust. 1 ustawy z dnia 8 marca 1990 r. o samorządzie gminnym, gminy mogą zawierać porozumienia międzygminne w sprawie powierzenia jednej z nich określonych przez nie zadań publicznych.</w:t>
      </w:r>
    </w:p>
    <w:p w:rsidR="00783916" w:rsidRDefault="00E57C2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W myśl art. 3 ust. 1 ustawy z dnia 13 września 1996 r. o utrzymaniu czystości </w:t>
      </w:r>
      <w:r>
        <w:rPr>
          <w:color w:val="000000"/>
          <w:szCs w:val="20"/>
          <w:u w:color="000000"/>
        </w:rPr>
        <w:br/>
        <w:t xml:space="preserve">i porządku w gminach (Dz. U. z 2021 r. poz. 888 ze. zm.), utrzymanie </w:t>
      </w:r>
      <w:r>
        <w:rPr>
          <w:i/>
          <w:color w:val="000000"/>
          <w:szCs w:val="20"/>
          <w:u w:color="000000"/>
        </w:rPr>
        <w:t>czystości i porządku w gminach</w:t>
      </w:r>
      <w:r>
        <w:rPr>
          <w:color w:val="000000"/>
          <w:szCs w:val="20"/>
          <w:u w:color="000000"/>
        </w:rPr>
        <w:t xml:space="preserve"> należy do obowiązkowych zadań własnych gminy. Gminy zapewniają selektywne zbieranie odpadów komunalnych w tym bioodpadów. Na podstawie art. 3 ust. 2 pkt 6b ustawy z dnia 13 września 1996 r. o utrzymaniu czystości i porządku w gminach, gminy zapewniają zagospodarowanie odpadów zgodnie z hierarchią sposobów postępowania z odpadami.</w:t>
      </w:r>
    </w:p>
    <w:p w:rsidR="00783916" w:rsidRDefault="00E57C2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3.Konsultacje wymagane przepisami prawa (łącznie z przepisami wewnętrznymi):</w:t>
      </w:r>
    </w:p>
    <w:p w:rsidR="00783916" w:rsidRDefault="00E57C2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Nie dotyczy.</w:t>
      </w:r>
    </w:p>
    <w:p w:rsidR="00783916" w:rsidRDefault="00E57C2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4.Uzasadnienie merytoryczne:</w:t>
      </w:r>
    </w:p>
    <w:p w:rsidR="00783916" w:rsidRDefault="00E57C2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Wyrażenie zgody przez Radę Gminy Kcynia na zawarcie porozumienia międzygminnego umożliwi Burmistrzowi Kcynia zawarcie porozumienia międzygminnego, dotyczącego przekazania Miastu Bydgoszcz zadania własnego gminy Kcynia z zakresu utrzymania czystości i porządku w gminie, polegającego na zagospodarowaniu bioodpadów stanowiących odpady komunalne.</w:t>
      </w:r>
    </w:p>
    <w:p w:rsidR="00783916" w:rsidRDefault="00E57C2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Porozumienie międzygminne umożliwi gminie Kcynia zagospodarowanie bioodpadów stanowiących odpady komunalne, których powstaniu nie udało się zapobiec na terenie gminy </w:t>
      </w:r>
      <w:bookmarkEnd w:id="0"/>
      <w:r>
        <w:rPr>
          <w:color w:val="000000"/>
          <w:szCs w:val="20"/>
          <w:u w:color="000000"/>
        </w:rPr>
        <w:t xml:space="preserve">Kcynia, zgodnie z hierarchią sposobów postępowania z odpadami. Bioodpady pochodzące z terenu gminy Kcynia zostaną przetworzone przez spółkę komunalną Międzygminny Kompleks Unieszkodliwiania Odpadów </w:t>
      </w:r>
      <w:proofErr w:type="spellStart"/>
      <w:r>
        <w:rPr>
          <w:color w:val="000000"/>
          <w:szCs w:val="20"/>
          <w:u w:color="000000"/>
        </w:rPr>
        <w:t>ProNatura</w:t>
      </w:r>
      <w:proofErr w:type="spellEnd"/>
      <w:r>
        <w:rPr>
          <w:color w:val="000000"/>
          <w:szCs w:val="20"/>
          <w:u w:color="000000"/>
        </w:rPr>
        <w:t xml:space="preserve"> Sp. z o.o. w Bydgoszczy, w instalacji recyklingu organicznego, po jej wybudowaniu. Porozumienie zostaje zawarte na czas określony - 30 lat od daty wejścia w życie.</w:t>
      </w:r>
    </w:p>
    <w:p w:rsidR="00783916" w:rsidRDefault="00E57C2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5. Ocena finansowych skutków regulacji: </w:t>
      </w:r>
    </w:p>
    <w:p w:rsidR="00783916" w:rsidRDefault="00E57C2E">
      <w:pPr>
        <w:keepNext/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Gmina Kcynia udzieli Miastu Bydgoszcz dotacji celowej na sfinansowanie wydatków związanych z realizacją zadania polegającego na zagospodarowaniu bioodpadów stanowiących odpady komunalne, w wysokości wynikającej z iloczynu masy bioodpadów dostarczonych z obszaru Gminy Kcynia i obowiązującej ceny za przyjmowane przez MKUO </w:t>
      </w:r>
      <w:proofErr w:type="spellStart"/>
      <w:r>
        <w:rPr>
          <w:color w:val="000000"/>
          <w:szCs w:val="20"/>
          <w:u w:color="000000"/>
        </w:rPr>
        <w:t>ProNatura</w:t>
      </w:r>
      <w:proofErr w:type="spellEnd"/>
      <w:r>
        <w:rPr>
          <w:color w:val="000000"/>
          <w:szCs w:val="20"/>
          <w:u w:color="000000"/>
        </w:rPr>
        <w:t xml:space="preserve"> do przetworzenia odpady - tzw. "ceny na bramie". Roczna kwota dotacji będzie przekazywana Miastu Bydgoszcz w transzach miesięcznych, których wysokość ustalona zostanie w oparciu o iloczyn masy w megagramach (Mg) bioodpadów dostarczonych z Gminy Kcynia do MKUO </w:t>
      </w:r>
      <w:proofErr w:type="spellStart"/>
      <w:r>
        <w:rPr>
          <w:color w:val="000000"/>
          <w:szCs w:val="20"/>
          <w:u w:color="000000"/>
        </w:rPr>
        <w:t>ProNatura</w:t>
      </w:r>
      <w:proofErr w:type="spellEnd"/>
      <w:r>
        <w:rPr>
          <w:color w:val="000000"/>
          <w:szCs w:val="20"/>
          <w:u w:color="000000"/>
        </w:rPr>
        <w:t xml:space="preserve"> w danym miesiącu kalendarzowym oraz obowiązującej "ceny na bramie" za 1 Mg a jej kwota zostanie wyrażona w nocie księgowej wystawianej co miesiąc przez Miasto Bydgoszcz. Obowiązek transportu bioodpadów do miejsca przetwarzania będzie stanowił koszt Gminy Kcynia. Miasto Bydgoszcz oświadcza, że spółka komunalna Międzygminny Kompleks Unieszkodliwiania Odpadów </w:t>
      </w:r>
      <w:proofErr w:type="spellStart"/>
      <w:r>
        <w:rPr>
          <w:color w:val="000000"/>
          <w:szCs w:val="20"/>
          <w:u w:color="000000"/>
        </w:rPr>
        <w:t>ProNatura</w:t>
      </w:r>
      <w:proofErr w:type="spellEnd"/>
      <w:r>
        <w:rPr>
          <w:color w:val="000000"/>
          <w:szCs w:val="20"/>
          <w:u w:color="000000"/>
        </w:rPr>
        <w:t xml:space="preserve"> Sp. z o.o. w Bydgoszczy, w której 100% udziałów posiada Miasto Bydgoszcz i nad którą sprawuje kontrolę, jest podmiotem realizującym w imieniu Miasta Bydgoszczy zadania publiczne w zakresie gospodarki odpadami w tym budowę, utrzymanie i eksploatację instalacji recyklingu organicznego przetwarzającej bioodpady.</w:t>
      </w:r>
    </w:p>
    <w:p w:rsidR="00783916" w:rsidRDefault="00E57C2E">
      <w:pPr>
        <w:keepNext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 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0"/>
        <w:gridCol w:w="5160"/>
      </w:tblGrid>
      <w:tr w:rsidR="00783916"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3916" w:rsidRDefault="00783916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3916" w:rsidRDefault="00E57C2E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Przewodniczący Rady Miejskiej w Kcyni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Jan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Kurant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 w:rsidR="00783916" w:rsidRDefault="00783916">
      <w:pPr>
        <w:keepNext/>
        <w:rPr>
          <w:color w:val="000000"/>
          <w:szCs w:val="20"/>
          <w:u w:color="000000"/>
        </w:rPr>
      </w:pPr>
    </w:p>
    <w:sectPr w:rsidR="00783916" w:rsidSect="00E57C2E">
      <w:endnotePr>
        <w:numFmt w:val="decimal"/>
      </w:endnotePr>
      <w:pgSz w:w="11906" w:h="16838"/>
      <w:pgMar w:top="142" w:right="566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783916"/>
    <w:rsid w:val="00A77B3E"/>
    <w:rsid w:val="00CA2A55"/>
    <w:rsid w:val="00CC2D16"/>
    <w:rsid w:val="00E5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64820E-D889-4E2D-A04D-7E405F1C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4952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XLVI/360/2022 z dnia 26 maja 2022 r.</vt:lpstr>
      <vt:lpstr/>
    </vt:vector>
  </TitlesOfParts>
  <Company>Rada Miejska w Kcyni</Company>
  <LinksUpToDate>false</LinksUpToDate>
  <CharactersWithSpaces>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XLVI/360/2022 z dnia 26 maja 2022 r.</dc:title>
  <dc:subject>w sprawie wyrażenia zgody na zawarcie porozumienia międzygminnego dotyczącego przekazania miastu Bydgoszcz zadania własnego gminy Kcynia z^zakresu utrzymania czystości i^porządku w^gminie, polegającego na zagospodarowaniu bioodpadów.</dc:subject>
  <dc:creator>piotr.mantych</dc:creator>
  <cp:lastModifiedBy>anna.duda</cp:lastModifiedBy>
  <cp:revision>2</cp:revision>
  <cp:lastPrinted>2022-05-27T06:48:00Z</cp:lastPrinted>
  <dcterms:created xsi:type="dcterms:W3CDTF">2022-05-27T07:34:00Z</dcterms:created>
  <dcterms:modified xsi:type="dcterms:W3CDTF">2022-05-27T07:34:00Z</dcterms:modified>
  <cp:category>Akt prawny</cp:category>
</cp:coreProperties>
</file>