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BD" w:rsidRPr="009E15A9" w:rsidRDefault="00FC78BD" w:rsidP="00316A71">
      <w:pPr>
        <w:jc w:val="center"/>
        <w:rPr>
          <w:b/>
          <w:sz w:val="28"/>
        </w:rPr>
      </w:pPr>
      <w:r w:rsidRPr="009E15A9">
        <w:rPr>
          <w:b/>
          <w:sz w:val="28"/>
        </w:rPr>
        <w:t>ZASADY PISANIA PISM W URZĘDZIE MIEJSKIM W KCYNI</w:t>
      </w:r>
    </w:p>
    <w:p w:rsidR="00FC78BD" w:rsidRPr="009E15A9" w:rsidRDefault="00FC78BD" w:rsidP="009E15A9">
      <w:pPr>
        <w:rPr>
          <w:b/>
          <w:sz w:val="24"/>
        </w:rPr>
      </w:pPr>
    </w:p>
    <w:p w:rsidR="006B1842" w:rsidRPr="009E15A9" w:rsidRDefault="006B1842" w:rsidP="009E15A9">
      <w:pPr>
        <w:rPr>
          <w:b/>
          <w:sz w:val="24"/>
        </w:rPr>
      </w:pPr>
      <w:r w:rsidRPr="009E15A9">
        <w:rPr>
          <w:b/>
          <w:sz w:val="24"/>
        </w:rPr>
        <w:t xml:space="preserve">Twórz dokumenty w edytorze tekstu przestrzegając następujących zasad: </w:t>
      </w:r>
    </w:p>
    <w:p w:rsidR="00FC78BD" w:rsidRPr="007F4655" w:rsidRDefault="006B1842" w:rsidP="009E15A9">
      <w:pPr>
        <w:pStyle w:val="Akapitzlist"/>
        <w:numPr>
          <w:ilvl w:val="0"/>
          <w:numId w:val="1"/>
        </w:numPr>
        <w:rPr>
          <w:sz w:val="24"/>
        </w:rPr>
      </w:pPr>
      <w:r w:rsidRPr="007F4655">
        <w:rPr>
          <w:sz w:val="24"/>
        </w:rPr>
        <w:t>wyrównuj tekst do lewej strony – nie stosuj justowania,</w:t>
      </w:r>
    </w:p>
    <w:p w:rsidR="00FC78BD" w:rsidRPr="007F4655" w:rsidRDefault="006B1842" w:rsidP="009E15A9">
      <w:pPr>
        <w:pStyle w:val="Akapitzlist"/>
        <w:numPr>
          <w:ilvl w:val="0"/>
          <w:numId w:val="1"/>
        </w:numPr>
        <w:rPr>
          <w:sz w:val="24"/>
        </w:rPr>
      </w:pPr>
      <w:r w:rsidRPr="007F4655">
        <w:rPr>
          <w:sz w:val="24"/>
        </w:rPr>
        <w:t>nie dziel wyrazów – wyłącz tę funkcję w edytorze,</w:t>
      </w:r>
    </w:p>
    <w:p w:rsidR="00FC78BD" w:rsidRPr="007F4655" w:rsidRDefault="006B1842" w:rsidP="009E15A9">
      <w:pPr>
        <w:pStyle w:val="Akapitzlist"/>
        <w:numPr>
          <w:ilvl w:val="0"/>
          <w:numId w:val="1"/>
        </w:numPr>
        <w:rPr>
          <w:sz w:val="24"/>
        </w:rPr>
      </w:pPr>
      <w:r w:rsidRPr="007F4655">
        <w:rPr>
          <w:sz w:val="24"/>
        </w:rPr>
        <w:t>do rozsuwania znaków używaj funkcji „tekst rozstrzelony”. Błędem</w:t>
      </w:r>
      <w:r w:rsidR="00FC78BD" w:rsidRPr="007F4655">
        <w:rPr>
          <w:sz w:val="24"/>
        </w:rPr>
        <w:t xml:space="preserve"> </w:t>
      </w:r>
      <w:r w:rsidRPr="007F4655">
        <w:rPr>
          <w:sz w:val="24"/>
        </w:rPr>
        <w:t>jest wstawianie spacji między literami, ponieważ czytnik ekranu,</w:t>
      </w:r>
      <w:r w:rsidR="00FC78BD" w:rsidRPr="007F4655">
        <w:rPr>
          <w:sz w:val="24"/>
        </w:rPr>
        <w:t xml:space="preserve"> </w:t>
      </w:r>
      <w:r w:rsidRPr="007F4655">
        <w:rPr>
          <w:sz w:val="24"/>
        </w:rPr>
        <w:t>z którego korzystają osoby z niepełnosprawnością wzroku, każdą</w:t>
      </w:r>
      <w:r w:rsidR="00FC78BD" w:rsidRPr="007F4655">
        <w:rPr>
          <w:sz w:val="24"/>
        </w:rPr>
        <w:t xml:space="preserve"> </w:t>
      </w:r>
      <w:r w:rsidRPr="007F4655">
        <w:rPr>
          <w:sz w:val="24"/>
        </w:rPr>
        <w:t>z liter będzie traktował jak oddzielny wyraz</w:t>
      </w:r>
    </w:p>
    <w:p w:rsidR="00FC78BD" w:rsidRPr="007F4655" w:rsidRDefault="00FC78BD" w:rsidP="009E15A9">
      <w:pPr>
        <w:pStyle w:val="Akapitzlist"/>
        <w:numPr>
          <w:ilvl w:val="0"/>
          <w:numId w:val="1"/>
        </w:numPr>
        <w:rPr>
          <w:sz w:val="24"/>
        </w:rPr>
      </w:pPr>
      <w:r w:rsidRPr="007F4655">
        <w:rPr>
          <w:sz w:val="24"/>
        </w:rPr>
        <w:t xml:space="preserve">stosuj czcionki, które </w:t>
      </w:r>
      <w:r w:rsidR="006B1842" w:rsidRPr="007F4655">
        <w:rPr>
          <w:sz w:val="24"/>
        </w:rPr>
        <w:t>są</w:t>
      </w:r>
      <w:r w:rsidRPr="007F4655">
        <w:rPr>
          <w:sz w:val="24"/>
        </w:rPr>
        <w:t>:</w:t>
      </w:r>
    </w:p>
    <w:p w:rsidR="00FC78BD" w:rsidRPr="007F4655" w:rsidRDefault="00FC78BD" w:rsidP="009E15A9">
      <w:pPr>
        <w:pStyle w:val="Akapitzlist"/>
        <w:rPr>
          <w:b/>
          <w:sz w:val="24"/>
        </w:rPr>
      </w:pPr>
      <w:r w:rsidRPr="007F4655">
        <w:rPr>
          <w:b/>
          <w:sz w:val="24"/>
        </w:rPr>
        <w:t xml:space="preserve">1. </w:t>
      </w:r>
      <w:proofErr w:type="spellStart"/>
      <w:r w:rsidR="006B1842" w:rsidRPr="007F4655">
        <w:rPr>
          <w:b/>
          <w:sz w:val="24"/>
        </w:rPr>
        <w:t>bezszeryfowe</w:t>
      </w:r>
      <w:proofErr w:type="spellEnd"/>
      <w:r w:rsidR="006B1842" w:rsidRPr="007F4655">
        <w:rPr>
          <w:b/>
          <w:sz w:val="24"/>
        </w:rPr>
        <w:t>, czyli o kroju pozbawionym ozdobników</w:t>
      </w:r>
      <w:r w:rsidRPr="007F4655">
        <w:rPr>
          <w:b/>
          <w:sz w:val="24"/>
        </w:rPr>
        <w:t xml:space="preserve"> </w:t>
      </w:r>
      <w:r w:rsidR="006B1842" w:rsidRPr="007F4655">
        <w:rPr>
          <w:b/>
          <w:sz w:val="24"/>
        </w:rPr>
        <w:t xml:space="preserve">w postaci szeryfów – końcówki znaków są proste (na przykład </w:t>
      </w:r>
      <w:proofErr w:type="spellStart"/>
      <w:r w:rsidR="006B1842" w:rsidRPr="007F4655">
        <w:rPr>
          <w:b/>
          <w:sz w:val="24"/>
        </w:rPr>
        <w:t>Helvetica</w:t>
      </w:r>
      <w:proofErr w:type="spellEnd"/>
      <w:r w:rsidR="006B1842" w:rsidRPr="007F4655">
        <w:rPr>
          <w:b/>
          <w:sz w:val="24"/>
        </w:rPr>
        <w:t xml:space="preserve">, Arial, </w:t>
      </w:r>
      <w:proofErr w:type="spellStart"/>
      <w:r w:rsidR="006B1842" w:rsidRPr="007F4655">
        <w:rPr>
          <w:b/>
          <w:sz w:val="24"/>
        </w:rPr>
        <w:t>Calibri</w:t>
      </w:r>
      <w:proofErr w:type="spellEnd"/>
      <w:r w:rsidR="006B1842" w:rsidRPr="007F4655">
        <w:rPr>
          <w:b/>
          <w:sz w:val="24"/>
        </w:rPr>
        <w:t xml:space="preserve">, </w:t>
      </w:r>
      <w:proofErr w:type="spellStart"/>
      <w:r w:rsidR="006B1842" w:rsidRPr="007F4655">
        <w:rPr>
          <w:b/>
          <w:sz w:val="24"/>
        </w:rPr>
        <w:t>Tahoma</w:t>
      </w:r>
      <w:proofErr w:type="spellEnd"/>
      <w:r w:rsidR="006B1842" w:rsidRPr="007F4655">
        <w:rPr>
          <w:b/>
          <w:sz w:val="24"/>
        </w:rPr>
        <w:t>); przykłady czcionek szeryfowych</w:t>
      </w:r>
      <w:r w:rsidR="006B1842" w:rsidRPr="007F4655">
        <w:rPr>
          <w:sz w:val="24"/>
        </w:rPr>
        <w:t xml:space="preserve">, </w:t>
      </w:r>
      <w:r w:rsidR="006B1842" w:rsidRPr="007F4655">
        <w:rPr>
          <w:b/>
          <w:sz w:val="24"/>
        </w:rPr>
        <w:t xml:space="preserve">których nie należy stosować, to Times New Roman, </w:t>
      </w:r>
      <w:proofErr w:type="spellStart"/>
      <w:r w:rsidR="006B1842" w:rsidRPr="007F4655">
        <w:rPr>
          <w:b/>
          <w:sz w:val="24"/>
        </w:rPr>
        <w:t>Century</w:t>
      </w:r>
      <w:proofErr w:type="spellEnd"/>
    </w:p>
    <w:p w:rsidR="00FC78BD" w:rsidRPr="007F4655" w:rsidRDefault="00FC78BD" w:rsidP="009E15A9">
      <w:pPr>
        <w:pStyle w:val="Akapitzlist"/>
        <w:rPr>
          <w:sz w:val="24"/>
        </w:rPr>
      </w:pPr>
      <w:r w:rsidRPr="007F4655">
        <w:rPr>
          <w:b/>
          <w:sz w:val="24"/>
        </w:rPr>
        <w:t xml:space="preserve">2. </w:t>
      </w:r>
      <w:r w:rsidR="006B1842" w:rsidRPr="007F4655">
        <w:rPr>
          <w:b/>
          <w:sz w:val="24"/>
        </w:rPr>
        <w:t>mają rozmiar: minimum 12 pkt.</w:t>
      </w:r>
    </w:p>
    <w:p w:rsidR="00FC78BD" w:rsidRPr="007F4655" w:rsidRDefault="006B1842" w:rsidP="009E15A9">
      <w:pPr>
        <w:pStyle w:val="Akapitzlist"/>
        <w:numPr>
          <w:ilvl w:val="0"/>
          <w:numId w:val="1"/>
        </w:numPr>
        <w:rPr>
          <w:b/>
          <w:sz w:val="24"/>
        </w:rPr>
      </w:pPr>
      <w:r w:rsidRPr="007F4655">
        <w:rPr>
          <w:sz w:val="24"/>
        </w:rPr>
        <w:t xml:space="preserve">stosuj interlinię miedzy wierszami: 1,15 lub 1,5 </w:t>
      </w:r>
      <w:proofErr w:type="spellStart"/>
      <w:r w:rsidRPr="007F4655">
        <w:rPr>
          <w:sz w:val="24"/>
        </w:rPr>
        <w:t>pkt</w:t>
      </w:r>
      <w:proofErr w:type="spellEnd"/>
      <w:r w:rsidRPr="007F4655">
        <w:rPr>
          <w:sz w:val="24"/>
        </w:rPr>
        <w:t>,</w:t>
      </w:r>
    </w:p>
    <w:p w:rsidR="00FC78BD" w:rsidRPr="009E15A9" w:rsidRDefault="006B1842" w:rsidP="009E15A9">
      <w:pPr>
        <w:pStyle w:val="Akapitzlist"/>
        <w:numPr>
          <w:ilvl w:val="0"/>
          <w:numId w:val="1"/>
        </w:numPr>
        <w:rPr>
          <w:b/>
          <w:sz w:val="24"/>
        </w:rPr>
      </w:pPr>
      <w:r w:rsidRPr="009E15A9">
        <w:rPr>
          <w:sz w:val="24"/>
        </w:rPr>
        <w:t>używaj wbudowanych stylów: Nagłówek 1, Nagłówek 2 itd., które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>pozwalają osobom korzystającym z klawiatury i czytników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>ekranu przenosić kursor bezpośrednio do wybranego nagłówka.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>Prawidłowo oznaczone nagłówki pozwalają wyświetlić konspekt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>dokumentu, dzięki czemu można szybko zapoznać się z jego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>strukturą.</w:t>
      </w:r>
    </w:p>
    <w:p w:rsidR="00FC78BD" w:rsidRPr="009E15A9" w:rsidRDefault="006B1842" w:rsidP="009E15A9">
      <w:pPr>
        <w:pStyle w:val="Akapitzlist"/>
        <w:numPr>
          <w:ilvl w:val="0"/>
          <w:numId w:val="1"/>
        </w:numPr>
        <w:rPr>
          <w:b/>
          <w:sz w:val="24"/>
        </w:rPr>
      </w:pPr>
      <w:r w:rsidRPr="009E15A9">
        <w:rPr>
          <w:sz w:val="24"/>
        </w:rPr>
        <w:t>stosuj akapity – tekst dzielony na akapity, z zachowaniem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>wymienionych niżej reguł jest bardziej czytelny</w:t>
      </w:r>
    </w:p>
    <w:p w:rsidR="00FC78BD" w:rsidRPr="009E15A9" w:rsidRDefault="006B1842" w:rsidP="009E15A9">
      <w:pPr>
        <w:pStyle w:val="Akapitzlist"/>
        <w:numPr>
          <w:ilvl w:val="0"/>
          <w:numId w:val="1"/>
        </w:numPr>
        <w:rPr>
          <w:b/>
          <w:sz w:val="24"/>
        </w:rPr>
      </w:pPr>
      <w:r w:rsidRPr="009E15A9">
        <w:rPr>
          <w:sz w:val="24"/>
        </w:rPr>
        <w:t>przeniesienie fragmentu akapitu czy zdania do nowej linii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>wykonuje się przez wstawienie znaku podziału linii – znak ten można wstawić uż</w:t>
      </w:r>
      <w:r w:rsidR="00FC78BD" w:rsidRPr="009E15A9">
        <w:rPr>
          <w:sz w:val="24"/>
        </w:rPr>
        <w:t>ywając klawiszy:  &lt;</w:t>
      </w:r>
      <w:proofErr w:type="spellStart"/>
      <w:r w:rsidR="00FC78BD" w:rsidRPr="009E15A9">
        <w:rPr>
          <w:sz w:val="24"/>
        </w:rPr>
        <w:t>Shift+Enter</w:t>
      </w:r>
      <w:proofErr w:type="spellEnd"/>
      <w:r w:rsidR="00FC78BD" w:rsidRPr="009E15A9">
        <w:rPr>
          <w:sz w:val="24"/>
        </w:rPr>
        <w:t>&gt;,</w:t>
      </w:r>
    </w:p>
    <w:p w:rsidR="00FC78BD" w:rsidRPr="009E15A9" w:rsidRDefault="006B1842" w:rsidP="009E15A9">
      <w:pPr>
        <w:pStyle w:val="Akapitzlist"/>
        <w:numPr>
          <w:ilvl w:val="0"/>
          <w:numId w:val="1"/>
        </w:numPr>
        <w:rPr>
          <w:b/>
          <w:sz w:val="24"/>
        </w:rPr>
      </w:pPr>
      <w:r w:rsidRPr="009E15A9">
        <w:rPr>
          <w:sz w:val="24"/>
        </w:rPr>
        <w:t>przeniesienie fragmentu dokumentu na nową stronę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>wykonuje się przez wstawienie znaku podziału strony: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>&lt;</w:t>
      </w:r>
      <w:proofErr w:type="spellStart"/>
      <w:r w:rsidRPr="009E15A9">
        <w:rPr>
          <w:sz w:val="24"/>
        </w:rPr>
        <w:t>Ctrl+Enter</w:t>
      </w:r>
      <w:proofErr w:type="spellEnd"/>
      <w:r w:rsidRPr="009E15A9">
        <w:rPr>
          <w:sz w:val="24"/>
        </w:rPr>
        <w:t>&gt;,</w:t>
      </w:r>
    </w:p>
    <w:p w:rsidR="00FC78BD" w:rsidRPr="009E15A9" w:rsidRDefault="006B1842" w:rsidP="009E15A9">
      <w:pPr>
        <w:pStyle w:val="Akapitzlist"/>
        <w:numPr>
          <w:ilvl w:val="0"/>
          <w:numId w:val="1"/>
        </w:numPr>
        <w:rPr>
          <w:b/>
          <w:sz w:val="24"/>
        </w:rPr>
      </w:pPr>
      <w:r w:rsidRPr="009E15A9">
        <w:rPr>
          <w:sz w:val="24"/>
        </w:rPr>
        <w:t xml:space="preserve">nie używaj klawisza &lt;Enter&gt; do przesuwania treści – użytkownicy niewidomi otrzymują wówczas błędną informację od czytnika ekranu; może to również spowodować błędne wyświetlanie się dokumentów, </w:t>
      </w:r>
    </w:p>
    <w:p w:rsidR="00FC78BD" w:rsidRPr="009E15A9" w:rsidRDefault="006B1842" w:rsidP="009E15A9">
      <w:pPr>
        <w:pStyle w:val="Akapitzlist"/>
        <w:numPr>
          <w:ilvl w:val="0"/>
          <w:numId w:val="1"/>
        </w:numPr>
        <w:rPr>
          <w:b/>
          <w:sz w:val="24"/>
        </w:rPr>
      </w:pPr>
      <w:r w:rsidRPr="009E15A9">
        <w:rPr>
          <w:sz w:val="24"/>
        </w:rPr>
        <w:t>nie twórz pionowych napisów – czytniki ekranu odczytują teksty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>zgodnie z obowiązującą w języku polskim zasadą pisania i czytania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>od lewej do prawej i od góry do dołu (tworzenie pionowych tekstów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>zaburza kolejności czytania tekstu),</w:t>
      </w:r>
    </w:p>
    <w:p w:rsidR="00FC78BD" w:rsidRPr="009E15A9" w:rsidRDefault="006B1842" w:rsidP="009E15A9">
      <w:pPr>
        <w:pStyle w:val="Akapitzlist"/>
        <w:numPr>
          <w:ilvl w:val="0"/>
          <w:numId w:val="1"/>
        </w:numPr>
        <w:rPr>
          <w:b/>
          <w:sz w:val="24"/>
        </w:rPr>
      </w:pPr>
      <w:r w:rsidRPr="009E15A9">
        <w:rPr>
          <w:sz w:val="24"/>
        </w:rPr>
        <w:t>zastępuj hiperłącza etykietami ekranowymi – przy tworzeniu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 xml:space="preserve">alternatywnego opisu </w:t>
      </w:r>
      <w:proofErr w:type="spellStart"/>
      <w:r w:rsidRPr="009E15A9">
        <w:rPr>
          <w:sz w:val="24"/>
        </w:rPr>
        <w:t>hiperłączy</w:t>
      </w:r>
      <w:proofErr w:type="spellEnd"/>
      <w:r w:rsidRPr="009E15A9">
        <w:rPr>
          <w:sz w:val="24"/>
        </w:rPr>
        <w:t xml:space="preserve"> (linków) nie używaj nazw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>całych linków – należy nadać im nazwę, która jasno określi ich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 xml:space="preserve">przeznaczenie, na przykład zamiast </w:t>
      </w:r>
      <w:hyperlink r:id="rId5" w:history="1">
        <w:r w:rsidR="00FC78BD" w:rsidRPr="009E15A9">
          <w:rPr>
            <w:rStyle w:val="Hipercze"/>
            <w:sz w:val="24"/>
          </w:rPr>
          <w:t>http://power.parp.gov.pl/harmonogram/harmonogram-naborow-na-2017-rok</w:t>
        </w:r>
      </w:hyperlink>
    </w:p>
    <w:p w:rsidR="00FC78BD" w:rsidRPr="009E15A9" w:rsidRDefault="006B1842" w:rsidP="009E15A9">
      <w:pPr>
        <w:pStyle w:val="Akapitzlist"/>
        <w:rPr>
          <w:sz w:val="24"/>
        </w:rPr>
      </w:pPr>
      <w:r w:rsidRPr="009E15A9">
        <w:rPr>
          <w:sz w:val="24"/>
        </w:rPr>
        <w:t>napisz</w:t>
      </w:r>
      <w:r w:rsidR="00FC78BD" w:rsidRPr="009E15A9">
        <w:rPr>
          <w:sz w:val="24"/>
        </w:rPr>
        <w:t xml:space="preserve"> </w:t>
      </w:r>
    </w:p>
    <w:p w:rsidR="006B1842" w:rsidRPr="009E15A9" w:rsidRDefault="00FC78BD" w:rsidP="009E15A9">
      <w:pPr>
        <w:pStyle w:val="Akapitzlist"/>
        <w:rPr>
          <w:b/>
          <w:sz w:val="24"/>
        </w:rPr>
      </w:pPr>
      <w:r w:rsidRPr="009E15A9">
        <w:rPr>
          <w:sz w:val="24"/>
        </w:rPr>
        <w:t>Terminy naborów</w:t>
      </w:r>
    </w:p>
    <w:p w:rsidR="00FC78BD" w:rsidRPr="009E15A9" w:rsidRDefault="006B1842" w:rsidP="009E15A9">
      <w:pPr>
        <w:pStyle w:val="Akapitzlist"/>
        <w:numPr>
          <w:ilvl w:val="0"/>
          <w:numId w:val="2"/>
        </w:numPr>
        <w:rPr>
          <w:sz w:val="24"/>
        </w:rPr>
      </w:pPr>
      <w:r w:rsidRPr="009E15A9">
        <w:rPr>
          <w:sz w:val="24"/>
        </w:rPr>
        <w:lastRenderedPageBreak/>
        <w:t>stosuj narzędzie edytora tekstu do wstawiania listy elementów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>zamiast wstawiać je ręcznie – po takiej liście można nawigować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>czytnikiem ekranu,</w:t>
      </w:r>
    </w:p>
    <w:p w:rsidR="00FC78BD" w:rsidRPr="009E15A9" w:rsidRDefault="006B1842" w:rsidP="009E15A9">
      <w:pPr>
        <w:pStyle w:val="Akapitzlist"/>
        <w:numPr>
          <w:ilvl w:val="0"/>
          <w:numId w:val="2"/>
        </w:numPr>
        <w:rPr>
          <w:sz w:val="24"/>
        </w:rPr>
      </w:pPr>
      <w:r w:rsidRPr="009E15A9">
        <w:rPr>
          <w:sz w:val="24"/>
        </w:rPr>
        <w:t xml:space="preserve">pamiętaj o właściwym kontraście, </w:t>
      </w:r>
    </w:p>
    <w:p w:rsidR="00FC78BD" w:rsidRPr="009E15A9" w:rsidRDefault="006B1842" w:rsidP="009E15A9">
      <w:pPr>
        <w:pStyle w:val="Akapitzlist"/>
        <w:numPr>
          <w:ilvl w:val="0"/>
          <w:numId w:val="2"/>
        </w:numPr>
        <w:rPr>
          <w:sz w:val="24"/>
        </w:rPr>
      </w:pPr>
      <w:r w:rsidRPr="009E15A9">
        <w:rPr>
          <w:sz w:val="24"/>
        </w:rPr>
        <w:t>wstawiając do tekstu tabelę pamiętaj, żeby:</w:t>
      </w:r>
    </w:p>
    <w:p w:rsidR="00FC78BD" w:rsidRPr="009E15A9" w:rsidRDefault="006B1842" w:rsidP="009E15A9">
      <w:pPr>
        <w:pStyle w:val="Akapitzlist"/>
        <w:numPr>
          <w:ilvl w:val="0"/>
          <w:numId w:val="3"/>
        </w:numPr>
        <w:rPr>
          <w:sz w:val="24"/>
        </w:rPr>
      </w:pPr>
      <w:r w:rsidRPr="009E15A9">
        <w:rPr>
          <w:sz w:val="24"/>
        </w:rPr>
        <w:t>określić wiersz nagłówków tabeli – zdefiniowanie wiersza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>nagłówków pozwala osobom niewidomym korzystającym z czytnika ekranu zrozumieć znaczenie treści</w:t>
      </w:r>
      <w:r w:rsidR="00FC78BD" w:rsidRPr="009E15A9">
        <w:rPr>
          <w:sz w:val="24"/>
        </w:rPr>
        <w:t xml:space="preserve"> odczytywanych komórek tabeli,</w:t>
      </w:r>
    </w:p>
    <w:p w:rsidR="00FC78BD" w:rsidRPr="009E15A9" w:rsidRDefault="006B1842" w:rsidP="009E15A9">
      <w:pPr>
        <w:pStyle w:val="Akapitzlist"/>
        <w:numPr>
          <w:ilvl w:val="0"/>
          <w:numId w:val="3"/>
        </w:numPr>
        <w:rPr>
          <w:sz w:val="24"/>
        </w:rPr>
      </w:pPr>
      <w:r w:rsidRPr="009E15A9">
        <w:rPr>
          <w:sz w:val="24"/>
        </w:rPr>
        <w:t>używać funkcji „Powtórz wiersz nagłówka na nowych stronach” w sytuacji, gdy tabela będzie zajmowała więcej niż jedną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>stronę dokumentu, wiersz nagłówka automatycznie zostanie powt</w:t>
      </w:r>
      <w:r w:rsidR="00FC78BD" w:rsidRPr="009E15A9">
        <w:rPr>
          <w:sz w:val="24"/>
        </w:rPr>
        <w:t xml:space="preserve">órzony na kolejnych stronach, </w:t>
      </w:r>
    </w:p>
    <w:p w:rsidR="00FC78BD" w:rsidRPr="009E15A9" w:rsidRDefault="006B1842" w:rsidP="009E15A9">
      <w:pPr>
        <w:pStyle w:val="Akapitzlist"/>
        <w:numPr>
          <w:ilvl w:val="0"/>
          <w:numId w:val="3"/>
        </w:numPr>
        <w:rPr>
          <w:sz w:val="24"/>
        </w:rPr>
      </w:pPr>
      <w:r w:rsidRPr="009E15A9">
        <w:rPr>
          <w:sz w:val="24"/>
        </w:rPr>
        <w:t>linie siatki były widoczne, co pozwala wizualnie rozpoznawać wiersze i kolumny,</w:t>
      </w:r>
    </w:p>
    <w:p w:rsidR="006B1842" w:rsidRPr="009E15A9" w:rsidRDefault="006B1842" w:rsidP="009E15A9">
      <w:pPr>
        <w:pStyle w:val="Akapitzlist"/>
        <w:numPr>
          <w:ilvl w:val="0"/>
          <w:numId w:val="3"/>
        </w:numPr>
        <w:rPr>
          <w:sz w:val="24"/>
        </w:rPr>
      </w:pPr>
      <w:r w:rsidRPr="009E15A9">
        <w:rPr>
          <w:sz w:val="24"/>
        </w:rPr>
        <w:t xml:space="preserve">wyrównywać tekst w kolumnach do lewej, a dane liczbowe do prawej </w:t>
      </w:r>
      <w:r w:rsidR="00FC78BD" w:rsidRPr="009E15A9">
        <w:rPr>
          <w:sz w:val="24"/>
        </w:rPr>
        <w:t xml:space="preserve">lub do przecinka dziesiętnego. </w:t>
      </w:r>
    </w:p>
    <w:p w:rsidR="00FC78BD" w:rsidRPr="009E15A9" w:rsidRDefault="006B1842" w:rsidP="009E15A9">
      <w:pPr>
        <w:rPr>
          <w:sz w:val="24"/>
        </w:rPr>
      </w:pPr>
      <w:r w:rsidRPr="009E15A9">
        <w:rPr>
          <w:sz w:val="24"/>
        </w:rPr>
        <w:t>Dodawaj teksty alternatywne do fotografii i ilustracji. W edytorze tekstu opcję tę znajdziesz w menu ilustracji. Na stronie internetowej czy w CMS też znajdziesz tę opcję. Jeśli nie możesz jej odnaleźć samodzielnie, zapytaj pracowników i pracowniczki działu IT. Tekst alternatywny to tekstowa informacja dotycząca tego, co widać na zdjęciu, a co jest ważne dla tekstu czy tematu, który to zdjęcie ilustruje. Teksty alternatywne są odczytywane przez czytnik ekranu i pozwalają osobom niewidomym zorientować się, co jest na ilustracji. Nie stosuje się ich jedynie do grafik, które mają charakter ozdobny.</w:t>
      </w:r>
    </w:p>
    <w:p w:rsidR="006B1842" w:rsidRPr="007F4655" w:rsidRDefault="006B1842" w:rsidP="009E15A9">
      <w:pPr>
        <w:rPr>
          <w:b/>
          <w:sz w:val="24"/>
        </w:rPr>
      </w:pPr>
      <w:r w:rsidRPr="007F4655">
        <w:rPr>
          <w:b/>
          <w:sz w:val="24"/>
        </w:rPr>
        <w:t>O czym pisać? O tym co na zdjęciu jest ważne. Jeśli jest to fotografia przedstawiająca zwycięzców zawodów pływackich, to w tekście alternatywnym powinny znaleźć się informacje o tym, kto stoi na jakim stopniu podium.</w:t>
      </w:r>
    </w:p>
    <w:p w:rsidR="006B1842" w:rsidRPr="009E15A9" w:rsidRDefault="006B1842" w:rsidP="009E15A9">
      <w:pPr>
        <w:rPr>
          <w:sz w:val="24"/>
        </w:rPr>
      </w:pPr>
      <w:r w:rsidRPr="009E15A9">
        <w:rPr>
          <w:sz w:val="24"/>
        </w:rPr>
        <w:t>Jeśli wstawiamy do tekstu fotografię pani wójt przecinającą wstęgę w nowej sali gimnastycznej, to właśnie taki opis powinien znaleźć się w tekście alternatywnym. Czy trzeba opisywać wszystkie zdjęcia? Tak. A co jeśli jest ich bardzo dużo? To dobra okazja, żeby zastanowić się, czy potrzeba aż dwunastu ujęć przecięcia wstęgi. Może wystarczą dobrze opisane dwa. Teksty alternatywne należy dodawać także do wykresów i grafik wstawianych do dokumentów. Wszystko co niesie ze sobą dodatkową informacje, która nie jest dostępna w tekście powinno być opisane. Nie należy w tych opisach umieszczać zbyt dużo szczegółów – bo opis stanie się niezrozumiały. Nie powinno się także dodawać w tekście alternatywnym informacji, których nie ma na ilustracji. To samo zdjęcie można opisać na wiele sposobów – wszystko zależy od tego jaki tekst będzie ono ilustrować.</w:t>
      </w:r>
    </w:p>
    <w:p w:rsidR="006B1842" w:rsidRPr="009E15A9" w:rsidRDefault="006B1842" w:rsidP="009E15A9">
      <w:pPr>
        <w:rPr>
          <w:sz w:val="24"/>
        </w:rPr>
      </w:pPr>
      <w:r w:rsidRPr="009E15A9">
        <w:rPr>
          <w:sz w:val="24"/>
        </w:rPr>
        <w:t>Przygotowywanie tekstów alternatywnych jest dosyć proste</w:t>
      </w:r>
      <w:r w:rsidR="00FC78BD" w:rsidRPr="009E15A9">
        <w:rPr>
          <w:sz w:val="24"/>
        </w:rPr>
        <w:t xml:space="preserve"> </w:t>
      </w:r>
      <w:r w:rsidRPr="009E15A9">
        <w:rPr>
          <w:sz w:val="24"/>
        </w:rPr>
        <w:t xml:space="preserve">i każdy może się tego nauczyć. Umieszczaj napisy w filmach, które pojawiają się na stronie internetowej Twojej instytucji. Najprościej zrobić to wykorzystując edytor napisów dostępny na </w:t>
      </w:r>
      <w:proofErr w:type="spellStart"/>
      <w:r w:rsidRPr="009E15A9">
        <w:rPr>
          <w:sz w:val="24"/>
        </w:rPr>
        <w:t>Youtube</w:t>
      </w:r>
      <w:proofErr w:type="spellEnd"/>
      <w:r w:rsidRPr="009E15A9">
        <w:rPr>
          <w:sz w:val="24"/>
        </w:rPr>
        <w:t xml:space="preserve">. Instrukcję, jak to zrobić, znajdziesz w pomocy tego serwisu. </w:t>
      </w:r>
    </w:p>
    <w:p w:rsidR="001C20B8" w:rsidRDefault="006B1842" w:rsidP="009E15A9">
      <w:pPr>
        <w:rPr>
          <w:sz w:val="24"/>
        </w:rPr>
      </w:pPr>
      <w:r w:rsidRPr="009E15A9">
        <w:rPr>
          <w:sz w:val="24"/>
        </w:rPr>
        <w:lastRenderedPageBreak/>
        <w:t>Napisy nie tylko ułatwią odbiór filmu osobom z niepełnosprawnością słuchu, ale też pozwolą oglądać filmy ze ściszonym dźwiękiem. Wszystkie materiały wideo publikowane po 23.09.2020 roku muszą mieć napisy. Więcej o przygotowywaniu napisów dowiesz się z publikacji Fundacji Kultury Bez Barier.</w:t>
      </w:r>
    </w:p>
    <w:p w:rsidR="009E15A9" w:rsidRPr="007F4655" w:rsidRDefault="009E15A9" w:rsidP="009E15A9">
      <w:pPr>
        <w:rPr>
          <w:b/>
          <w:sz w:val="24"/>
        </w:rPr>
      </w:pPr>
    </w:p>
    <w:p w:rsidR="009E15A9" w:rsidRPr="007F4655" w:rsidRDefault="009E15A9" w:rsidP="009E15A9">
      <w:pPr>
        <w:rPr>
          <w:b/>
          <w:sz w:val="24"/>
        </w:rPr>
      </w:pPr>
      <w:r w:rsidRPr="007F4655">
        <w:rPr>
          <w:b/>
          <w:sz w:val="24"/>
        </w:rPr>
        <w:t>Po więcej cennych porad i dobrych praktyk w zakresie tworzenia pism urzędowych, zapraszam na stronę:</w:t>
      </w:r>
    </w:p>
    <w:p w:rsidR="009E15A9" w:rsidRPr="007F4655" w:rsidRDefault="00911A76" w:rsidP="009E15A9">
      <w:pPr>
        <w:rPr>
          <w:b/>
          <w:sz w:val="24"/>
        </w:rPr>
      </w:pPr>
      <w:hyperlink r:id="rId6" w:history="1">
        <w:r w:rsidR="009E15A9" w:rsidRPr="007F4655">
          <w:rPr>
            <w:rStyle w:val="Hipercze"/>
            <w:b/>
            <w:sz w:val="24"/>
          </w:rPr>
          <w:t>https://</w:t>
        </w:r>
        <w:r w:rsidR="009E15A9" w:rsidRPr="007F4655">
          <w:rPr>
            <w:rStyle w:val="Hipercze"/>
            <w:b/>
            <w:sz w:val="24"/>
          </w:rPr>
          <w:t>w</w:t>
        </w:r>
        <w:r w:rsidR="009E15A9" w:rsidRPr="007F4655">
          <w:rPr>
            <w:rStyle w:val="Hipercze"/>
            <w:b/>
            <w:sz w:val="24"/>
          </w:rPr>
          <w:t>ww.funduszeeuropejskie.gov.pl/strony/o-funduszach/promocja/prosto-o-funduszach-europejskich-1/dobre-praktyki-1/</w:t>
        </w:r>
      </w:hyperlink>
    </w:p>
    <w:p w:rsidR="009E15A9" w:rsidRDefault="009E15A9" w:rsidP="009E15A9">
      <w:pPr>
        <w:rPr>
          <w:sz w:val="24"/>
        </w:rPr>
      </w:pPr>
    </w:p>
    <w:p w:rsidR="00316A71" w:rsidRDefault="00316A71" w:rsidP="00316A71">
      <w:pPr>
        <w:jc w:val="right"/>
        <w:rPr>
          <w:sz w:val="24"/>
        </w:rPr>
      </w:pPr>
    </w:p>
    <w:p w:rsidR="009E15A9" w:rsidRDefault="00316A71" w:rsidP="00316A71">
      <w:pPr>
        <w:jc w:val="right"/>
        <w:rPr>
          <w:sz w:val="24"/>
        </w:rPr>
      </w:pPr>
      <w:r>
        <w:rPr>
          <w:sz w:val="24"/>
        </w:rPr>
        <w:t xml:space="preserve">Z pozdrowieniami </w:t>
      </w:r>
    </w:p>
    <w:p w:rsidR="00316A71" w:rsidRDefault="00316A71" w:rsidP="009E15A9">
      <w:pPr>
        <w:jc w:val="right"/>
        <w:rPr>
          <w:sz w:val="24"/>
        </w:rPr>
      </w:pPr>
      <w:r>
        <w:rPr>
          <w:sz w:val="24"/>
        </w:rPr>
        <w:t xml:space="preserve">koordynator dostępności </w:t>
      </w:r>
    </w:p>
    <w:p w:rsidR="009E15A9" w:rsidRDefault="009E15A9" w:rsidP="009E15A9">
      <w:pPr>
        <w:jc w:val="right"/>
        <w:rPr>
          <w:sz w:val="24"/>
        </w:rPr>
      </w:pPr>
      <w:r>
        <w:rPr>
          <w:sz w:val="24"/>
        </w:rPr>
        <w:t xml:space="preserve">Urzędu Miejskiego w </w:t>
      </w:r>
      <w:proofErr w:type="spellStart"/>
      <w:r>
        <w:rPr>
          <w:sz w:val="24"/>
        </w:rPr>
        <w:t>Kcyni</w:t>
      </w:r>
      <w:proofErr w:type="spellEnd"/>
    </w:p>
    <w:p w:rsidR="009E15A9" w:rsidRPr="009E15A9" w:rsidRDefault="009E15A9" w:rsidP="009E15A9">
      <w:pPr>
        <w:jc w:val="right"/>
        <w:rPr>
          <w:sz w:val="24"/>
        </w:rPr>
      </w:pPr>
      <w:r>
        <w:rPr>
          <w:sz w:val="24"/>
        </w:rPr>
        <w:t xml:space="preserve">Ewa Hałas </w:t>
      </w:r>
    </w:p>
    <w:sectPr w:rsidR="009E15A9" w:rsidRPr="009E15A9" w:rsidSect="001C2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57F3"/>
    <w:multiLevelType w:val="hybridMultilevel"/>
    <w:tmpl w:val="77461DF2"/>
    <w:lvl w:ilvl="0" w:tplc="F8F689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82E3C"/>
    <w:multiLevelType w:val="hybridMultilevel"/>
    <w:tmpl w:val="C646EF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D05EC9"/>
    <w:multiLevelType w:val="hybridMultilevel"/>
    <w:tmpl w:val="04A225D0"/>
    <w:lvl w:ilvl="0" w:tplc="F8F689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1842"/>
    <w:rsid w:val="00040305"/>
    <w:rsid w:val="001C20B8"/>
    <w:rsid w:val="00316A71"/>
    <w:rsid w:val="006B1842"/>
    <w:rsid w:val="007F4655"/>
    <w:rsid w:val="0090634A"/>
    <w:rsid w:val="00911A76"/>
    <w:rsid w:val="009E15A9"/>
    <w:rsid w:val="00F96A97"/>
    <w:rsid w:val="00FC78BD"/>
    <w:rsid w:val="00FF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0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8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78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F46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nduszeeuropejskie.gov.pl/strony/o-funduszach/promocja/prosto-o-funduszach-europejskich-1/dobre-praktyki-1/" TargetMode="External"/><Relationship Id="rId5" Type="http://schemas.openxmlformats.org/officeDocument/2006/relationships/hyperlink" Target="http://power.parp.gov.pl/harmonogram/harmonogram-naborow-na-2017-r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ewa.halas</dc:creator>
  <cp:lastModifiedBy>ewa.halas</cp:lastModifiedBy>
  <cp:revision>4</cp:revision>
  <cp:lastPrinted>2021-01-20T11:52:00Z</cp:lastPrinted>
  <dcterms:created xsi:type="dcterms:W3CDTF">2021-01-20T11:04:00Z</dcterms:created>
  <dcterms:modified xsi:type="dcterms:W3CDTF">2021-02-01T12:33:00Z</dcterms:modified>
</cp:coreProperties>
</file>